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spacing w:after="0" w:line="24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2"/>
          <w:szCs w:val="32"/>
          <w:u w:val="none"/>
          <w:shd w:fill="auto" w:val="clear"/>
          <w:vertAlign w:val="baseline"/>
        </w:rPr>
      </w:pPr>
      <w:r w:rsidDel="00000000" w:rsidR="00000000" w:rsidRPr="00000000">
        <w:rPr>
          <w:rFonts w:ascii="Arial" w:cs="Arial" w:eastAsia="Arial" w:hAnsi="Arial"/>
          <w:b w:val="1"/>
          <w:i w:val="0"/>
          <w:smallCaps w:val="0"/>
          <w:strike w:val="0"/>
          <w:color w:val="000000"/>
          <w:sz w:val="32"/>
          <w:szCs w:val="32"/>
          <w:u w:val="none"/>
          <w:shd w:fill="auto" w:val="clear"/>
          <w:vertAlign w:val="baseline"/>
          <w:rtl w:val="0"/>
        </w:rPr>
        <w:t xml:space="preserve">Call-Off Schedule 10 (Exit Management)</w:t>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00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7988.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060"/>
        <w:gridCol w:w="4928"/>
        <w:tblGridChange w:id="0">
          <w:tblGrid>
            <w:gridCol w:w="3060"/>
            <w:gridCol w:w="4928"/>
          </w:tblGrid>
        </w:tblGridChange>
      </w:tblGrid>
      <w:tr>
        <w:trPr>
          <w:cantSplit w:val="0"/>
          <w:tblHeader w:val="0"/>
        </w:trPr>
        <w:tc>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"Exclusive Assets"</w:t>
            </w:r>
          </w:p>
        </w:tc>
        <w:tc>
          <w:tcPr/>
          <w:p w:rsidR="00000000" w:rsidDel="00000000" w:rsidP="00000000" w:rsidRDefault="00000000" w:rsidRPr="00000000" w14:paraId="00000006">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Assets used exclusively by the Supplier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 a Key Subcontractor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the provision of the Deliverables;</w:t>
            </w:r>
          </w:p>
        </w:tc>
      </w:tr>
      <w:tr>
        <w:trPr>
          <w:cantSplit w:val="0"/>
          <w:tblHeader w:val="0"/>
        </w:trPr>
        <w:tc>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Information"</w:t>
            </w:r>
          </w:p>
        </w:tc>
        <w:tc>
          <w:tcPr/>
          <w:p w:rsidR="00000000" w:rsidDel="00000000" w:rsidP="00000000" w:rsidRDefault="00000000" w:rsidRPr="00000000" w14:paraId="00000008">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3.1 of this Schedule;</w:t>
            </w:r>
          </w:p>
        </w:tc>
      </w:tr>
      <w:tr>
        <w:trPr>
          <w:cantSplit w:val="0"/>
          <w:tblHeader w:val="0"/>
        </w:trPr>
        <w:tc>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Manager"</w:t>
            </w:r>
          </w:p>
        </w:tc>
        <w:tc>
          <w:tcPr/>
          <w:p w:rsidR="00000000" w:rsidDel="00000000" w:rsidP="00000000" w:rsidRDefault="00000000" w:rsidRPr="00000000" w14:paraId="0000000A">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person appointed by each Party to manage their respective obligations under this Schedule;</w:t>
            </w:r>
          </w:p>
        </w:tc>
      </w:tr>
      <w:tr>
        <w:trPr>
          <w:cantSplit w:val="0"/>
          <w:tblHeader w:val="0"/>
        </w:trPr>
        <w:tc>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Plan”</w:t>
            </w:r>
          </w:p>
        </w:tc>
        <w:tc>
          <w:tcPr/>
          <w:p w:rsidR="00000000" w:rsidDel="00000000" w:rsidP="00000000" w:rsidRDefault="00000000" w:rsidRPr="00000000" w14:paraId="0000000C">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plan produced and updated by the Supplier during the Initial Period in accordance with Paragraph 4 of this Schedule;</w:t>
            </w:r>
          </w:p>
        </w:tc>
      </w:tr>
      <w:tr>
        <w:trPr>
          <w:cantSplit w:val="0"/>
          <w:tblHeader w:val="0"/>
        </w:trPr>
        <w:tc>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"Net Book Value"</w:t>
            </w:r>
          </w:p>
        </w:tc>
        <w:tc>
          <w:tcPr/>
          <w:p w:rsidR="00000000" w:rsidDel="00000000" w:rsidP="00000000" w:rsidRDefault="00000000" w:rsidRPr="00000000" w14:paraId="0000000E">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trPr>
          <w:cantSplit w:val="0"/>
          <w:tblHeader w:val="0"/>
        </w:trPr>
        <w:tc>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"Non-Exclusive Assets"</w:t>
            </w:r>
          </w:p>
        </w:tc>
        <w:tc>
          <w:tcPr/>
          <w:p w:rsidR="00000000" w:rsidDel="00000000" w:rsidP="00000000" w:rsidRDefault="00000000" w:rsidRPr="00000000" w14:paraId="00000010">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those Supplier Assets used by the Supplier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 a Key Subcontractor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connection with the Deliverables but which are also used by the Supplier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 Key Subcontractor]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other purposes;</w:t>
            </w:r>
          </w:p>
        </w:tc>
      </w:tr>
      <w:tr>
        <w:trPr>
          <w:cantSplit w:val="0"/>
          <w:tblHeader w:val="0"/>
        </w:trPr>
        <w:tc>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"Registers"</w:t>
            </w:r>
          </w:p>
        </w:tc>
        <w:tc>
          <w:tcPr/>
          <w:p w:rsidR="00000000" w:rsidDel="00000000" w:rsidP="00000000" w:rsidRDefault="00000000" w:rsidRPr="00000000" w14:paraId="00000012">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register and configuration database referred to in Paragraph 2.2 of this Schedule; </w:t>
            </w:r>
          </w:p>
        </w:tc>
      </w:tr>
      <w:tr>
        <w:trPr>
          <w:cantSplit w:val="0"/>
          <w:tblHeader w:val="0"/>
        </w:trPr>
        <w:tc>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"Replacement Goods"</w:t>
            </w:r>
          </w:p>
        </w:tc>
        <w:tc>
          <w:tcPr/>
          <w:p w:rsidR="00000000" w:rsidDel="00000000" w:rsidP="00000000" w:rsidRDefault="00000000" w:rsidRPr="00000000" w14:paraId="00000014">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goods which are substantially similar to any of the Goods and which the Buyer receives in substitution for any of the Goods following the End Date, whether those goods are provided by the Buyer internally and/or by any third party;</w:t>
            </w:r>
          </w:p>
        </w:tc>
      </w:tr>
      <w:tr>
        <w:trPr>
          <w:cantSplit w:val="0"/>
          <w:tblHeader w:val="0"/>
        </w:trPr>
        <w:tc>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"Replacement Services"</w:t>
            </w:r>
          </w:p>
        </w:tc>
        <w:tc>
          <w:tcPr/>
          <w:p w:rsidR="00000000" w:rsidDel="00000000" w:rsidP="00000000" w:rsidRDefault="00000000" w:rsidRPr="00000000" w14:paraId="00000016">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services which are substantially similar to any of the Services and which the Buyer receives in substitution for any of the Services following the End Date, whether those goods are provided by the Buyer internally and/or by any third party;</w:t>
            </w:r>
          </w:p>
        </w:tc>
      </w:tr>
      <w:tr>
        <w:trPr>
          <w:cantSplit w:val="0"/>
          <w:tblHeader w:val="0"/>
        </w:trPr>
        <w:tc>
          <w:tcPr/>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w:t>
            </w:r>
          </w:p>
        </w:tc>
        <w:tc>
          <w:tcPr/>
          <w:p w:rsidR="00000000" w:rsidDel="00000000" w:rsidP="00000000" w:rsidRDefault="00000000" w:rsidRPr="00000000" w14:paraId="00000018">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activities to be performed by the Supplier pursuant to the Exit Plan, and other assistance required by the Buyer pursuant to the Termination Assistance Notice;</w:t>
            </w:r>
          </w:p>
        </w:tc>
      </w:tr>
      <w:tr>
        <w:trPr>
          <w:cantSplit w:val="0"/>
          <w:tblHeader w:val="0"/>
        </w:trPr>
        <w:tc>
          <w:tcPr/>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 Notice"</w:t>
            </w:r>
          </w:p>
        </w:tc>
        <w:tc>
          <w:tcPr/>
          <w:p w:rsidR="00000000" w:rsidDel="00000000" w:rsidP="00000000" w:rsidRDefault="00000000" w:rsidRPr="00000000" w14:paraId="0000001A">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5.1 of this Schedule;</w:t>
            </w:r>
          </w:p>
        </w:tc>
      </w:tr>
      <w:tr>
        <w:trPr>
          <w:cantSplit w:val="0"/>
          <w:tblHeader w:val="0"/>
        </w:trPr>
        <w:tc>
          <w:tcPr/>
          <w:p w:rsidR="00000000" w:rsidDel="00000000" w:rsidP="00000000" w:rsidRDefault="00000000" w:rsidRPr="00000000" w14:paraId="0000001B">
            <w:pPr>
              <w:keepNext w:val="1"/>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 Period"</w:t>
            </w:r>
          </w:p>
        </w:tc>
        <w:tc>
          <w:tcPr/>
          <w:p w:rsidR="00000000" w:rsidDel="00000000" w:rsidP="00000000" w:rsidRDefault="00000000" w:rsidRPr="00000000" w14:paraId="0000001C">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period specified in a Termination Assistance Notice for which the Supplier is required to provide the Termination Assistance as such period may be extended pursuant to Paragraph 5.2 of this Schedule;</w:t>
            </w:r>
          </w:p>
        </w:tc>
      </w:tr>
      <w:tr>
        <w:trPr>
          <w:cantSplit w:val="0"/>
          <w:tblHeader w:val="0"/>
        </w:trPr>
        <w:tc>
          <w:tcPr/>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"Transferable Assets"</w:t>
            </w:r>
          </w:p>
        </w:tc>
        <w:tc>
          <w:tcPr/>
          <w:p w:rsidR="00000000" w:rsidDel="00000000" w:rsidP="00000000" w:rsidRDefault="00000000" w:rsidRPr="00000000" w14:paraId="0000001E">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Exclusive Assets which are capable of legal transfer to the Buyer;</w:t>
            </w:r>
          </w:p>
        </w:tc>
      </w:tr>
      <w:tr>
        <w:trPr>
          <w:cantSplit w:val="0"/>
          <w:tblHeader w:val="0"/>
        </w:trPr>
        <w:tc>
          <w:tcPr/>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"Transferable Contracts"</w:t>
            </w:r>
          </w:p>
        </w:tc>
        <w:tc>
          <w:tcPr/>
          <w:p w:rsidR="00000000" w:rsidDel="00000000" w:rsidP="00000000" w:rsidRDefault="00000000" w:rsidRPr="00000000" w14:paraId="00000020">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trPr>
          <w:cantSplit w:val="0"/>
          <w:tblHeader w:val="0"/>
        </w:trPr>
        <w:tc>
          <w:tcPr/>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Assets"</w:t>
            </w:r>
          </w:p>
        </w:tc>
        <w:tc>
          <w:tcPr/>
          <w:p w:rsidR="00000000" w:rsidDel="00000000" w:rsidP="00000000" w:rsidRDefault="00000000" w:rsidRPr="00000000" w14:paraId="00000022">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8.2.1 of this Schedule;</w:t>
            </w:r>
          </w:p>
        </w:tc>
      </w:tr>
      <w:tr>
        <w:trPr>
          <w:cantSplit w:val="0"/>
          <w:tblHeader w:val="0"/>
        </w:trPr>
        <w:tc>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Contracts"</w:t>
            </w:r>
          </w:p>
        </w:tc>
        <w:tc>
          <w:tcPr/>
          <w:p w:rsidR="00000000" w:rsidDel="00000000" w:rsidP="00000000" w:rsidRDefault="00000000" w:rsidRPr="00000000" w14:paraId="00000024">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8.2.3 of this Schedule.</w:t>
            </w:r>
          </w:p>
        </w:tc>
      </w:tr>
    </w:tbl>
    <w:p w:rsidR="00000000" w:rsidDel="00000000" w:rsidP="00000000" w:rsidRDefault="00000000" w:rsidRPr="00000000" w14:paraId="0000002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must always be prepared for contract exit </w:t>
      </w:r>
      <w:r w:rsidDel="00000000" w:rsidR="00000000" w:rsidRPr="00000000">
        <w:rPr>
          <w:rtl w:val="0"/>
        </w:rPr>
      </w:r>
    </w:p>
    <w:p w:rsidR="00000000" w:rsidDel="00000000" w:rsidP="00000000" w:rsidRDefault="00000000" w:rsidRPr="00000000" w14:paraId="0000002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within 30 days from the Start Date provide to the Buyer a copy of its depreciation policy to be used for the purposes of calculating Net Book Value.</w:t>
      </w:r>
    </w:p>
    <w:p w:rsidR="00000000" w:rsidDel="00000000" w:rsidP="00000000" w:rsidRDefault="00000000" w:rsidRPr="00000000" w14:paraId="00000027">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During the Contract Period, the Supplier shall promptly:</w:t>
      </w:r>
    </w:p>
    <w:p w:rsidR="00000000" w:rsidDel="00000000" w:rsidP="00000000" w:rsidRDefault="00000000" w:rsidRPr="00000000" w14:paraId="0000002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maintain 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and</w:t>
      </w:r>
    </w:p>
    <w:p w:rsidR="00000000" w:rsidDel="00000000" w:rsidP="00000000" w:rsidRDefault="00000000" w:rsidRPr="00000000" w14:paraId="0000002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maintain a configuration database detailing the technical infrastructure and operating procedures through which the Supplier provides the Deliverables </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129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Registers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2B">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2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all Exclusive Assets listed in the Registers are clearly physically identified as such; and</w:t>
      </w:r>
    </w:p>
    <w:p w:rsidR="00000000" w:rsidDel="00000000" w:rsidP="00000000" w:rsidRDefault="00000000" w:rsidRPr="00000000" w14:paraId="0000002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 </w:t>
      </w:r>
    </w:p>
    <w:p w:rsidR="00000000" w:rsidDel="00000000" w:rsidP="00000000" w:rsidRDefault="00000000" w:rsidRPr="00000000" w14:paraId="0000002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Party shall appoint an Exit Manager within three (3) Months of the Start Date. The Parties' Exit Managers will liaise with one another in relation to all issues relevant to the expiry or termination of this Contract.</w:t>
      </w:r>
    </w:p>
    <w:p w:rsidR="00000000" w:rsidDel="00000000" w:rsidP="00000000" w:rsidRDefault="00000000" w:rsidRPr="00000000" w14:paraId="0000002F">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Assisting re-competition for Deliverables </w:t>
      </w:r>
    </w:p>
    <w:p w:rsidR="00000000" w:rsidDel="00000000" w:rsidP="00000000" w:rsidRDefault="00000000" w:rsidRPr="00000000" w14:paraId="0000003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Information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3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rsidR="00000000" w:rsidDel="00000000" w:rsidP="00000000" w:rsidRDefault="00000000" w:rsidRPr="00000000" w14:paraId="0000003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rsidR="00000000" w:rsidDel="00000000" w:rsidP="00000000" w:rsidRDefault="00000000" w:rsidRPr="00000000" w14:paraId="0000003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Exit Information shall be accurate and complete in all material respects and shall be sufficient to enable a third party to prepare an informed offer for those Deliverables; and not be disadvantaged in any procurement process compared to the Supplier.</w:t>
      </w:r>
    </w:p>
    <w:p w:rsidR="00000000" w:rsidDel="00000000" w:rsidP="00000000" w:rsidRDefault="00000000" w:rsidRPr="00000000" w14:paraId="0000003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Exit Plan</w:t>
      </w:r>
    </w:p>
    <w:p w:rsidR="00000000" w:rsidDel="00000000" w:rsidP="00000000" w:rsidRDefault="00000000" w:rsidRPr="00000000" w14:paraId="0000003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within three (3) Months after the Start Date, deliver to the Buyer an Exit Plan which complies with the requirements set out in Paragraph 4.3 of this Schedule and is otherwise reasonably satisfactory to the Buyer.</w:t>
      </w:r>
    </w:p>
    <w:p w:rsidR="00000000" w:rsidDel="00000000" w:rsidP="00000000" w:rsidRDefault="00000000" w:rsidRPr="00000000" w14:paraId="0000003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use reasonable endeavours to agree the contents of the Exit Plan. If the Parties are unable to agree the contents of the Exit Plan within twenty (20) Working Days of the latest date for its submission pursuant to Paragraph 4.1, then such Dispute shall be resolved in accordance with the Dispute Resolution Procedure. </w:t>
      </w:r>
    </w:p>
    <w:p w:rsidR="00000000" w:rsidDel="00000000" w:rsidP="00000000" w:rsidRDefault="00000000" w:rsidRPr="00000000" w14:paraId="00000037">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Exit Plan shall set out, as a minimum:</w:t>
      </w:r>
    </w:p>
    <w:p w:rsidR="00000000" w:rsidDel="00000000" w:rsidP="00000000" w:rsidRDefault="00000000" w:rsidRPr="00000000" w14:paraId="0000003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detailed description of both the transfer and cessation processes, including a timetable; </w:t>
      </w:r>
    </w:p>
    <w:p w:rsidR="00000000" w:rsidDel="00000000" w:rsidP="00000000" w:rsidRDefault="00000000" w:rsidRPr="00000000" w14:paraId="0000003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how the Deliverables will transfer to the Replacement Supplier and/or the Buyer;</w:t>
      </w:r>
    </w:p>
    <w:p w:rsidR="00000000" w:rsidDel="00000000" w:rsidP="00000000" w:rsidRDefault="00000000" w:rsidRPr="00000000" w14:paraId="0000003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any contracts which will be available for transfer to the Buyer and/or the Replacement Supplier upon the Expiry Date together with any reasonable costs required to effect such transfer;</w:t>
      </w:r>
    </w:p>
    <w:p w:rsidR="00000000" w:rsidDel="00000000" w:rsidP="00000000" w:rsidRDefault="00000000" w:rsidRPr="00000000" w14:paraId="0000003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training of key members of the Replacement Supplier’s staff in connection with the continuation of the provision of the Deliverables following the Expiry Date;</w:t>
      </w:r>
    </w:p>
    <w:p w:rsidR="00000000" w:rsidDel="00000000" w:rsidP="00000000" w:rsidRDefault="00000000" w:rsidRPr="00000000" w14:paraId="0000003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providing the Buyer or a Replacement Supplier copies of all documentation relating to the use and operation of the Deliverables and required for their continued use; </w:t>
      </w:r>
    </w:p>
    <w:p w:rsidR="00000000" w:rsidDel="00000000" w:rsidP="00000000" w:rsidRDefault="00000000" w:rsidRPr="00000000" w14:paraId="0000003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assignment or novation of all services utilised by the Supplier in connection with the supply of the Deliverables;</w:t>
      </w:r>
    </w:p>
    <w:p w:rsidR="00000000" w:rsidDel="00000000" w:rsidP="00000000" w:rsidRDefault="00000000" w:rsidRPr="00000000" w14:paraId="0000003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identification and return of all Buyer Property in the possession of and/or control of the Supplier or any third party;</w:t>
      </w:r>
    </w:p>
    <w:p w:rsidR="00000000" w:rsidDel="00000000" w:rsidP="00000000" w:rsidRDefault="00000000" w:rsidRPr="00000000" w14:paraId="0000003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disposal of any redundant Deliverables and materials;</w:t>
      </w:r>
    </w:p>
    <w:p w:rsidR="00000000" w:rsidDel="00000000" w:rsidP="00000000" w:rsidRDefault="00000000" w:rsidRPr="00000000" w14:paraId="0000004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how the Supplier will ensure that there is no disruption to or degradation of the Deliverables during the Termination Assistance Period; and</w:t>
      </w:r>
    </w:p>
    <w:p w:rsidR="00000000" w:rsidDel="00000000" w:rsidP="00000000" w:rsidRDefault="00000000" w:rsidRPr="00000000" w14:paraId="0000004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other information or assistance reasonably required by the Buyer or a Replacement Supplier.</w:t>
      </w:r>
    </w:p>
    <w:p w:rsidR="00000000" w:rsidDel="00000000" w:rsidP="00000000" w:rsidRDefault="00000000" w:rsidRPr="00000000" w14:paraId="00000042">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43">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 and update the Exit Plan (and risk management plan) no less frequently than: </w:t>
      </w:r>
    </w:p>
    <w:p w:rsidR="00000000" w:rsidDel="00000000" w:rsidP="00000000" w:rsidRDefault="00000000" w:rsidRPr="00000000" w14:paraId="0000004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every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[six (6) months]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throughout the Contract Period; and</w:t>
      </w:r>
    </w:p>
    <w:p w:rsidR="00000000" w:rsidDel="00000000" w:rsidP="00000000" w:rsidRDefault="00000000" w:rsidRPr="00000000" w14:paraId="0000004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later than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twenty (20) Working Days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after a request from the Buyer for an up-to-date copy of the Exit Plan; </w:t>
      </w:r>
    </w:p>
    <w:p w:rsidR="00000000" w:rsidDel="00000000" w:rsidP="00000000" w:rsidRDefault="00000000" w:rsidRPr="00000000" w14:paraId="0000004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soon as reasonably possible following a Termination Assistance Notice, and in any event no later than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ten (10) Working Days]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after the date of the Termination Assistance Notice;</w:t>
      </w:r>
    </w:p>
    <w:p w:rsidR="00000000" w:rsidDel="00000000" w:rsidP="00000000" w:rsidRDefault="00000000" w:rsidRPr="00000000" w14:paraId="0000004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soon as reasonably possible following, and in any event no later than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twenty (20) Working Days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following, any material change to the Deliverables (including all changes under the Variation Procedure); and  </w:t>
      </w:r>
    </w:p>
    <w:p w:rsidR="00000000" w:rsidDel="00000000" w:rsidP="00000000" w:rsidRDefault="00000000" w:rsidRPr="00000000" w14:paraId="0000004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jointly review and verify the Exit Plan if required by the Buyer and promptly correct any identified failures.</w:t>
      </w:r>
    </w:p>
    <w:p w:rsidR="00000000" w:rsidDel="00000000" w:rsidP="00000000" w:rsidRDefault="00000000" w:rsidRPr="00000000" w14:paraId="0000004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Only if (by notification to the Supplier in writing) the Buyer agrees with a draft Exit Plan provided by the Supplier under Paragraph 4.2 or 4.4 (as the context requires), shall that draft become the Exit Plan for this Contract.  </w:t>
      </w:r>
    </w:p>
    <w:p w:rsidR="00000000" w:rsidDel="00000000" w:rsidP="00000000" w:rsidRDefault="00000000" w:rsidRPr="00000000" w14:paraId="0000004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version of an Exit Plan agreed between the parties shall not be superseded by any draft submitted by the Supplier.</w:t>
      </w:r>
    </w:p>
    <w:p w:rsidR="00000000" w:rsidDel="00000000" w:rsidP="00000000" w:rsidRDefault="00000000" w:rsidRPr="00000000" w14:paraId="0000004B">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Termination Assistance </w:t>
      </w:r>
    </w:p>
    <w:p w:rsidR="00000000" w:rsidDel="00000000" w:rsidP="00000000" w:rsidRDefault="00000000" w:rsidRPr="00000000" w14:paraId="0000004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entitled to require the provision of Termination Assistance at any time during the Contract Period by giving written notice to the Supplier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 Notice"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at least four (4) Months prior to the Expiry Date or as soon as reasonably practicable (but in any event, not later than one (1) Month) following the service by either Party of a Termination Notice. The Termination Assistance Notice shall specify:</w:t>
      </w:r>
    </w:p>
    <w:p w:rsidR="00000000" w:rsidDel="00000000" w:rsidP="00000000" w:rsidRDefault="00000000" w:rsidRPr="00000000" w14:paraId="0000004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nature of the Termination Assistance required; and</w:t>
      </w:r>
    </w:p>
    <w:p w:rsidR="00000000" w:rsidDel="00000000" w:rsidP="00000000" w:rsidRDefault="00000000" w:rsidRPr="00000000" w14:paraId="0000004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start date and initial period during which it is anticipated that Termination Assistance will be required, which shall continue no longer than twelve (12) Months after the End Date.</w:t>
      </w:r>
    </w:p>
    <w:p w:rsidR="00000000" w:rsidDel="00000000" w:rsidP="00000000" w:rsidRDefault="00000000" w:rsidRPr="00000000" w14:paraId="0000004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an option to extend the Termination Assistance Period beyond the initial period specified in the Termination Assistance Notice in one or more extensions, in each case provided that:</w:t>
      </w:r>
    </w:p>
    <w:p w:rsidR="00000000" w:rsidDel="00000000" w:rsidP="00000000" w:rsidRDefault="00000000" w:rsidRPr="00000000" w14:paraId="0000005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such extension shall extend the Termination Assistance Period beyond the date twelve (12) Months after the End Date; and </w:t>
      </w:r>
    </w:p>
    <w:p w:rsidR="00000000" w:rsidDel="00000000" w:rsidP="00000000" w:rsidRDefault="00000000" w:rsidRPr="00000000" w14:paraId="0000005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notify the Supplier of any such extension no later than twenty (20) Working Days prior to the date on which the Termination Assistance Period is otherwise due to expire. </w:t>
      </w:r>
    </w:p>
    <w:p w:rsidR="00000000" w:rsidDel="00000000" w:rsidP="00000000" w:rsidRDefault="00000000" w:rsidRPr="00000000" w14:paraId="0000005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the right to terminate its requirement for Termination Assistance by serving not less than (20) Working Days' written notice upon the Supplier.</w:t>
      </w:r>
    </w:p>
    <w:p w:rsidR="00000000" w:rsidDel="00000000" w:rsidP="00000000" w:rsidRDefault="00000000" w:rsidRPr="00000000" w14:paraId="0000005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Termination Assistance is required by the Buyer but at the relevant time the parties are still agreeing an update to the Exit Plan pursuant to Paragraph 4, the Supplier will provide the Termination Assistance in good faith and in accordance with the principles in this Schedule and the last Buyer approved version of the Exit Plan (insofar as it still applies).</w:t>
      </w:r>
    </w:p>
    <w:p w:rsidR="00000000" w:rsidDel="00000000" w:rsidP="00000000" w:rsidRDefault="00000000" w:rsidRPr="00000000" w14:paraId="00000054">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Termination Assistance Period </w:t>
      </w:r>
      <w:r w:rsidDel="00000000" w:rsidR="00000000" w:rsidRPr="00000000">
        <w:rPr>
          <w:rtl w:val="0"/>
        </w:rPr>
      </w:r>
    </w:p>
    <w:p w:rsidR="00000000" w:rsidDel="00000000" w:rsidP="00000000" w:rsidRDefault="00000000" w:rsidRPr="00000000" w14:paraId="00000055">
      <w:pPr>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Throughout the Termination Assistance Period the Supplier shall:</w:t>
      </w:r>
    </w:p>
    <w:p w:rsidR="00000000" w:rsidDel="00000000" w:rsidP="00000000" w:rsidRDefault="00000000" w:rsidRPr="00000000" w14:paraId="0000005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continue to provide the Deliverables (as applicable) and otherwise perform its obligations under this Contract and, if required by the Buyer, provide the Termination Assistance;</w:t>
      </w:r>
    </w:p>
    <w:p w:rsidR="00000000" w:rsidDel="00000000" w:rsidP="00000000" w:rsidRDefault="00000000" w:rsidRPr="00000000" w14:paraId="0000005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p>
    <w:p w:rsidR="00000000" w:rsidDel="00000000" w:rsidP="00000000" w:rsidRDefault="00000000" w:rsidRPr="00000000" w14:paraId="0000005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use all reasonable endeavours to reallocate resources to provide such assistance without additional costs to the Buyer;</w:t>
      </w:r>
    </w:p>
    <w:p w:rsidR="00000000" w:rsidDel="00000000" w:rsidP="00000000" w:rsidRDefault="00000000" w:rsidRPr="00000000" w14:paraId="0000005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z337ya" w:id="18"/>
      <w:bookmarkEnd w:id="1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6.3, provide the Deliverables and the Termination Assistance at no detriment to the Performance Indicators (PI’s) or Service Levels, the provision of the Management Information or any other reports nor to any other of the Supplier's obligations under this Contract; </w:t>
      </w:r>
    </w:p>
    <w:p w:rsidR="00000000" w:rsidDel="00000000" w:rsidP="00000000" w:rsidRDefault="00000000" w:rsidRPr="00000000" w14:paraId="0000005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Buyer's request and on reasonable notice, deliver up-to-date Registers to the Buyer;</w:t>
      </w:r>
    </w:p>
    <w:p w:rsidR="00000000" w:rsidDel="00000000" w:rsidP="00000000" w:rsidRDefault="00000000" w:rsidRPr="00000000" w14:paraId="0000005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seek the Buyer's prior written consent to access any Buyer Premises from which the de-installation or removal of Supplier Assets is required.</w:t>
      </w:r>
    </w:p>
    <w:p w:rsidR="00000000" w:rsidDel="00000000" w:rsidP="00000000" w:rsidRDefault="00000000" w:rsidRPr="00000000" w14:paraId="0000005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it is not possible for the Supplier to reallocate resources to provide such assistance as is referred to in Paragraph 6.1.2 without additional costs to the Buyer, any additional costs incurred by the Supplier in providing such reasonable assistance shall be subject to the Variation Procedure.</w:t>
      </w:r>
    </w:p>
    <w:p w:rsidR="00000000" w:rsidDel="00000000" w:rsidP="00000000" w:rsidRDefault="00000000" w:rsidRPr="00000000" w14:paraId="0000005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y810tw" w:id="20"/>
      <w:bookmarkEnd w:id="2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demonstrates to the Buyer's reasonable satisfaction that the provision of the Termination Assistance will have a material, unavoidable adverse effect on the Supplier's ability to meet one or more particular Service Levels, the Parties shall vary the relevant Service Levels and/or the applicable Service Credits accordingly.</w:t>
      </w:r>
    </w:p>
    <w:p w:rsidR="00000000" w:rsidDel="00000000" w:rsidP="00000000" w:rsidRDefault="00000000" w:rsidRPr="00000000" w14:paraId="0000005E">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Obligations when the contract is terminated  </w:t>
      </w:r>
      <w:r w:rsidDel="00000000" w:rsidR="00000000" w:rsidRPr="00000000">
        <w:rPr>
          <w:rtl w:val="0"/>
        </w:rPr>
      </w:r>
    </w:p>
    <w:p w:rsidR="00000000" w:rsidDel="00000000" w:rsidP="00000000" w:rsidRDefault="00000000" w:rsidRPr="00000000" w14:paraId="0000005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i7ojhp"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all of its obligations contained in the Exit Plan.</w:t>
      </w:r>
    </w:p>
    <w:p w:rsidR="00000000" w:rsidDel="00000000" w:rsidP="00000000" w:rsidRDefault="00000000" w:rsidRPr="00000000" w14:paraId="00000060">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xcytpi"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termination or expiry or at the end of the Termination Assistance Period (or earlier if this does not adversely affect the Supplier's performance of the Deliverables and the Termination Assistance), the Supplier shall:</w:t>
      </w:r>
    </w:p>
    <w:p w:rsidR="00000000" w:rsidDel="00000000" w:rsidP="00000000" w:rsidRDefault="00000000" w:rsidRPr="00000000" w14:paraId="0000006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vacate any Buyer Premises;</w:t>
      </w:r>
    </w:p>
    <w:p w:rsidR="00000000" w:rsidDel="00000000" w:rsidP="00000000" w:rsidRDefault="00000000" w:rsidRPr="00000000" w14:paraId="0000006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rsidR="00000000" w:rsidDel="00000000" w:rsidP="00000000" w:rsidRDefault="00000000" w:rsidRPr="00000000" w14:paraId="00000063">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ci93xb" w:id="23"/>
      <w:bookmarkEnd w:id="2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access during normal working hours to the Buyer and/or the Replacement Supplier for up to twelve (12) Months after expiry or termination to:</w:t>
      </w:r>
    </w:p>
    <w:p w:rsidR="00000000" w:rsidDel="00000000" w:rsidP="00000000" w:rsidRDefault="00000000" w:rsidRPr="00000000" w14:paraId="0000006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information relating to the Deliverables as remains in the possession or control of the Supplier; and</w:t>
      </w:r>
    </w:p>
    <w:p w:rsidR="00000000" w:rsidDel="00000000" w:rsidP="00000000" w:rsidRDefault="00000000" w:rsidRPr="00000000" w14:paraId="0000006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whwml4"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p>
    <w:p w:rsidR="00000000" w:rsidDel="00000000" w:rsidP="00000000" w:rsidRDefault="00000000" w:rsidRPr="00000000" w14:paraId="0000006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bn6wsx"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Except where this Contract provides otherwise, all licences, leases and authorisations granted by the Buyer to the Supplier in relation to the Deliverables shall be terminated with effect from the end of the Termination Assistance Period.</w:t>
      </w:r>
    </w:p>
    <w:p w:rsidR="00000000" w:rsidDel="00000000" w:rsidP="00000000" w:rsidRDefault="00000000" w:rsidRPr="00000000" w14:paraId="00000067">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Assets, Sub-contracts and Software</w:t>
      </w:r>
    </w:p>
    <w:p w:rsidR="00000000" w:rsidDel="00000000" w:rsidP="00000000" w:rsidRDefault="00000000" w:rsidRPr="00000000" w14:paraId="00000068">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qsh70q" w:id="26"/>
      <w:bookmarkEnd w:id="2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notice of termination of this Contract and during the Termination Assistance Period, the Supplier shall not, without the Buyer's prior written consent:</w:t>
      </w:r>
    </w:p>
    <w:p w:rsidR="00000000" w:rsidDel="00000000" w:rsidP="00000000" w:rsidRDefault="00000000" w:rsidRPr="00000000" w14:paraId="0000006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terminate, enter into or vary any Sub-contract or licence for any software in connection with the Deliverables; or</w:t>
      </w:r>
    </w:p>
    <w:p w:rsidR="00000000" w:rsidDel="00000000" w:rsidP="00000000" w:rsidRDefault="00000000" w:rsidRPr="00000000" w14:paraId="0000006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normal maintenance requirements) make material modifications to, or dispose of, any existing Supplier Assets or acquire any new Supplier Assets.</w:t>
      </w:r>
    </w:p>
    <w:p w:rsidR="00000000" w:rsidDel="00000000" w:rsidP="00000000" w:rsidRDefault="00000000" w:rsidRPr="00000000" w14:paraId="0000006B">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as4poj" w:id="27"/>
      <w:bookmarkEnd w:id="2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of receipt of the up-to-date Registers provided by the Supplier, the Buyer shall notify the Supplier setting out:</w:t>
      </w:r>
    </w:p>
    <w:p w:rsidR="00000000" w:rsidDel="00000000" w:rsidP="00000000" w:rsidRDefault="00000000" w:rsidRPr="00000000" w14:paraId="0000006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pxezwc" w:id="28"/>
      <w:bookmarkEnd w:id="2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if any, of the Transferable Assets the Buyer requires to be transferred to the Buyer and/or the Replacement Supplier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Assets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bookmarkStart w:colFirst="0" w:colLast="0" w:name="bookmark=id.49x2ik5" w:id="29"/>
    <w:bookmarkEnd w:id="29"/>
    <w:p w:rsidR="00000000" w:rsidDel="00000000" w:rsidP="00000000" w:rsidRDefault="00000000" w:rsidRPr="00000000" w14:paraId="0000006D">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p2csry" w:id="30"/>
      <w:bookmarkEnd w:id="3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if any, of:</w:t>
      </w:r>
    </w:p>
    <w:p w:rsidR="00000000" w:rsidDel="00000000" w:rsidP="00000000" w:rsidRDefault="00000000" w:rsidRPr="00000000" w14:paraId="0000006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Exclusive Assets that are not Transferable Assets; and </w:t>
      </w:r>
    </w:p>
    <w:p w:rsidR="00000000" w:rsidDel="00000000" w:rsidP="00000000" w:rsidRDefault="00000000" w:rsidRPr="00000000" w14:paraId="0000006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Non-Exclusive Assets,</w:t>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2127"/>
        </w:tabs>
        <w:spacing w:after="120" w:before="120" w:line="240" w:lineRule="auto"/>
        <w:ind w:left="1656"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and/or the Replacement Supplier requires the continued use of; and</w:t>
      </w:r>
    </w:p>
    <w:p w:rsidR="00000000" w:rsidDel="00000000" w:rsidP="00000000" w:rsidRDefault="00000000" w:rsidRPr="00000000" w14:paraId="0000007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47n2zr" w:id="31"/>
      <w:bookmarkEnd w:id="3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if any, of Transferable Contracts the Buyer requires to be assigned or novated to the Buyer and/or the Replacement Supplier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Contracts"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2127"/>
        </w:tabs>
        <w:spacing w:after="120" w:before="120" w:line="240" w:lineRule="auto"/>
        <w:ind w:left="936" w:right="0" w:hanging="349.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rsidR="00000000" w:rsidDel="00000000" w:rsidP="00000000" w:rsidRDefault="00000000" w:rsidRPr="00000000" w14:paraId="0000007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o7alnk" w:id="32"/>
      <w:bookmarkEnd w:id="3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effect from the expiry of the Termination Assistance Period, the Supplier shall sell the Transferring Assets to the Buyer and/or the Replacement Supplier for their Net Book Value less any amount already paid for them through the Charges. </w:t>
      </w:r>
    </w:p>
    <w:p w:rsidR="00000000" w:rsidDel="00000000" w:rsidP="00000000" w:rsidRDefault="00000000" w:rsidRPr="00000000" w14:paraId="0000007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Risk in the Transferring Assets shall pass to the Buyer or the Replacement Supplier (as appropriate) at the end of the Termination Assistance Period and title shall pass on payment for them.</w:t>
      </w:r>
    </w:p>
    <w:p w:rsidR="00000000" w:rsidDel="00000000" w:rsidP="00000000" w:rsidRDefault="00000000" w:rsidRPr="00000000" w14:paraId="00000075">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3ckvvd" w:id="33"/>
      <w:bookmarkEnd w:id="3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and/or the Replacement Supplier requires continued use of any Exclusive Assets that are not Transferable Assets or any Non-Exclusive Assets, the Supplier shall as soon as reasonably practicable:</w:t>
      </w:r>
    </w:p>
    <w:p w:rsidR="00000000" w:rsidDel="00000000" w:rsidP="00000000" w:rsidRDefault="00000000" w:rsidRPr="00000000" w14:paraId="0000007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a non-exclusive, perpetual, royalty-free licence for the Buyer and/or the Replacement Supplier to use such assets (with a right of sub-licence or assignment on the same terms); or failing which</w:t>
      </w:r>
    </w:p>
    <w:p w:rsidR="00000000" w:rsidDel="00000000" w:rsidP="00000000" w:rsidRDefault="00000000" w:rsidRPr="00000000" w14:paraId="0000007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a suitable alternative to such assets, the Buyer or the Replacement Supplier to bear the reasonable proven costs of procuring the same.</w:t>
      </w:r>
    </w:p>
    <w:p w:rsidR="00000000" w:rsidDel="00000000" w:rsidP="00000000" w:rsidRDefault="00000000" w:rsidRPr="00000000" w14:paraId="0000007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ihv636" w:id="34"/>
      <w:bookmarkEnd w:id="3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p>
    <w:p w:rsidR="00000000" w:rsidDel="00000000" w:rsidP="00000000" w:rsidRDefault="00000000" w:rsidRPr="00000000" w14:paraId="00000079">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2hioqz" w:id="35"/>
      <w:bookmarkEnd w:id="3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w:t>
      </w:r>
    </w:p>
    <w:p w:rsidR="00000000" w:rsidDel="00000000" w:rsidP="00000000" w:rsidRDefault="00000000" w:rsidRPr="00000000" w14:paraId="0000007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accept assignments from the Supplier or join with the Supplier in procuring a novation of each Transferring Contract; and</w:t>
      </w:r>
    </w:p>
    <w:p w:rsidR="00000000" w:rsidDel="00000000" w:rsidP="00000000" w:rsidRDefault="00000000" w:rsidRPr="00000000" w14:paraId="0000007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rsidR="00000000" w:rsidDel="00000000" w:rsidP="00000000" w:rsidRDefault="00000000" w:rsidRPr="00000000" w14:paraId="0000007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hold any Transferring Contracts on trust for the Buyer until the transfer of the relevant Transferring Contract to the Buyer and/or the Replacement Supplier has taken place.</w:t>
      </w:r>
    </w:p>
    <w:p w:rsidR="00000000" w:rsidDel="00000000" w:rsidP="00000000" w:rsidRDefault="00000000" w:rsidRPr="00000000" w14:paraId="0000007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hmsyys" w:id="36"/>
      <w:bookmarkEnd w:id="3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8.6 in relation to any matters arising prior to the date of assignment or novation of such Transferring Contract. Clause 19 (Other people's rights in this contract) shall not apply to this Paragraph 8.9 which is intended to be enforceable by Third Parties Beneficiaries by virtue of the CRTPA.</w:t>
      </w:r>
    </w:p>
    <w:p w:rsidR="00000000" w:rsidDel="00000000" w:rsidP="00000000" w:rsidRDefault="00000000" w:rsidRPr="00000000" w14:paraId="0000007E">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41mghml" w:id="37"/>
      <w:bookmarkEnd w:id="37"/>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N</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 charges</w:t>
      </w: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 </w:t>
      </w:r>
    </w:p>
    <w:p w:rsidR="00000000" w:rsidDel="00000000" w:rsidP="00000000" w:rsidRDefault="00000000" w:rsidRPr="00000000" w14:paraId="0000007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otherwise stated, the Buyer shall not be obliged to pay for costs incurred by the Supplier in relation to its compliance with this Schedule.</w:t>
      </w:r>
    </w:p>
    <w:p w:rsidR="00000000" w:rsidDel="00000000" w:rsidP="00000000" w:rsidRDefault="00000000" w:rsidRPr="00000000" w14:paraId="00000080">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ividing the bills </w:t>
      </w:r>
      <w:r w:rsidDel="00000000" w:rsidR="00000000" w:rsidRPr="00000000">
        <w:rPr>
          <w:rtl w:val="0"/>
        </w:rPr>
      </w:r>
    </w:p>
    <w:p w:rsidR="00000000" w:rsidDel="00000000" w:rsidP="00000000" w:rsidRDefault="00000000" w:rsidRPr="00000000" w14:paraId="00000081">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grqrue" w:id="38"/>
      <w:bookmarkEnd w:id="3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outgoings, expenses, rents, royalties and other periodical payments receivable in respect of the Transferring Assets and Transferring Contracts shall be apportioned between the Buyer and/or the Replacement and the Supplier as follows:</w:t>
      </w:r>
    </w:p>
    <w:p w:rsidR="00000000" w:rsidDel="00000000" w:rsidP="00000000" w:rsidRDefault="00000000" w:rsidRPr="00000000" w14:paraId="0000008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amounts shall be annualised and divided by 365 to reach a daily rate;</w:t>
      </w:r>
    </w:p>
    <w:p w:rsidR="00000000" w:rsidDel="00000000" w:rsidP="00000000" w:rsidRDefault="00000000" w:rsidRPr="00000000" w14:paraId="0000008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or Replacement Supplier (as applicable) shall be responsible for or entitled to (as the case may be) that part of the value of the invoice pro rata to the number of complete days following the transfer, multiplied by the daily rate; and</w:t>
      </w:r>
    </w:p>
    <w:p w:rsidR="00000000" w:rsidDel="00000000" w:rsidP="00000000" w:rsidRDefault="00000000" w:rsidRPr="00000000" w14:paraId="0000008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or entitled to (as the case may be) the rest of the invoice.</w:t>
      </w:r>
    </w:p>
    <w:p w:rsidR="00000000" w:rsidDel="00000000" w:rsidP="00000000" w:rsidRDefault="00000000" w:rsidRPr="00000000" w14:paraId="00000085">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6">
      <w:pPr>
        <w:pageBreakBefore w:val="0"/>
        <w:rPr>
          <w:rFonts w:ascii="Arial" w:cs="Arial" w:eastAsia="Arial" w:hAnsi="Arial"/>
          <w:sz w:val="24"/>
          <w:szCs w:val="24"/>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RM6278</w:t>
    </w:r>
  </w:p>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w:t>
    </w:r>
    <w:bookmarkStart w:colFirst="0" w:colLast="0" w:name="bookmark=id.vx1227" w:id="39"/>
    <w:bookmarkEnd w:id="3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sz w:val="20"/>
        <w:szCs w:val="20"/>
        <w:rtl w:val="0"/>
      </w:rPr>
      <w:t xml:space="preserve">2</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F">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Framework Ref: RM</w:t>
      <w:tab/>
      <w:t xml:space="preserve">                                           </w:t>
    </w:r>
  </w:p>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Model Version : v3.0</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10 (Exit Management)</w:t>
    </w:r>
    <w:r w:rsidDel="00000000" w:rsidR="00000000" w:rsidRPr="00000000">
      <w:rPr>
        <w:rtl w:val="0"/>
      </w:rPr>
    </w:r>
  </w:p>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p>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2018</w:t>
    </w:r>
  </w:p>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 w:val="left" w:pos="3559"/>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644" w:hanging="359.9999999999999"/>
      </w:pPr>
      <w:rPr>
        <w:smallCaps w:val="0"/>
        <w:strike w:val="0"/>
        <w:color w:val="000000"/>
        <w:u w:val="none"/>
        <w:vertAlign w:val="baseline"/>
      </w:rPr>
    </w:lvl>
    <w:lvl w:ilvl="1">
      <w:start w:val="1"/>
      <w:numFmt w:val="decimal"/>
      <w:lvlText w:val="%1.%2"/>
      <w:lvlJc w:val="left"/>
      <w:pPr>
        <w:ind w:left="928" w:hanging="360"/>
      </w:pPr>
      <w:rPr>
        <w:rFonts w:ascii="Arial" w:cs="Arial" w:eastAsia="Arial" w:hAnsi="Arial"/>
        <w:b w:val="0"/>
        <w:i w:val="0"/>
        <w:smallCaps w:val="0"/>
        <w:strike w:val="0"/>
        <w:color w:val="000000"/>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paragraph" w:styleId="GPSL1CLAUSEHEADING" w:customStyle="1">
    <w:name w:val="GPS L1 CLAUSE HEADING"/>
    <w:basedOn w:val="Normal"/>
    <w:next w:val="Normal"/>
    <w:qFormat w:val="1"/>
    <w:pPr>
      <w:numPr>
        <w:numId w:val="1"/>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adjustRightInd w:val="0"/>
      <w:spacing w:after="120" w:before="120" w:line="240" w:lineRule="auto"/>
      <w:ind w:left="936" w:hanging="576"/>
      <w:jc w:val="both"/>
    </w:pPr>
    <w:rPr>
      <w:rFonts w:ascii="Calibri" w:cs="Arial" w:eastAsia="Times New Roman" w:hAnsi="Calibri"/>
      <w:lang w:eastAsia="zh-CN"/>
    </w:rPr>
  </w:style>
  <w:style w:type="paragraph" w:styleId="GPSL3numberedclause" w:customStyle="1">
    <w:name w:val="GPS L3 numbered clause"/>
    <w:basedOn w:val="GPSL2numberedclause"/>
    <w:link w:val="GPSL3numberedclauseChar"/>
    <w:qFormat w:val="1"/>
    <w:pPr>
      <w:numPr>
        <w:ilvl w:val="2"/>
      </w:numPr>
      <w:tabs>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ind w:left="2592" w:hanging="936"/>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pPr>
      <w:numPr>
        <w:ilvl w:val="4"/>
      </w:numPr>
      <w:tabs>
        <w:tab w:val="left" w:pos="3402"/>
      </w:tabs>
      <w:ind w:left="3402" w:hanging="567"/>
    </w:pPr>
  </w:style>
  <w:style w:type="character" w:styleId="GPSL5numberedclauseChar" w:customStyle="1">
    <w:name w:val="GPS L5 numbered clause Char"/>
    <w:link w:val="GPSL5numberedclause"/>
    <w:rPr>
      <w:rFonts w:ascii="Calibri" w:cs="Arial" w:eastAsia="Times New Roman" w:hAnsi="Calibri"/>
      <w:szCs w:val="20"/>
      <w:lang w:eastAsia="zh-CN"/>
    </w:rPr>
  </w:style>
  <w:style w:type="paragraph" w:styleId="GPSL3Indent" w:customStyle="1">
    <w:name w:val="GPS L3 Indent"/>
    <w:basedOn w:val="Normal"/>
    <w:pPr>
      <w:tabs>
        <w:tab w:val="left" w:pos="2127"/>
      </w:tabs>
      <w:adjustRightInd w:val="0"/>
      <w:spacing w:after="120" w:before="120" w:line="240" w:lineRule="auto"/>
      <w:ind w:left="2127"/>
      <w:jc w:val="both"/>
    </w:pPr>
    <w:rPr>
      <w:rFonts w:ascii="Arial" w:cs="Arial" w:eastAsia="Times New Roman" w:hAnsi="Arial"/>
      <w:lang w:eastAsia="zh-CN" w:val="en-US"/>
    </w:rPr>
  </w:style>
  <w:style w:type="paragraph" w:styleId="GPSL2Indent" w:customStyle="1">
    <w:name w:val="GPS L2 Indent"/>
    <w:basedOn w:val="GPSL2numberedclause"/>
    <w:link w:val="GPSL2IndentChar"/>
    <w:qFormat w:val="1"/>
    <w:pPr>
      <w:numPr>
        <w:ilvl w:val="0"/>
        <w:numId w:val="0"/>
      </w:numPr>
      <w:tabs>
        <w:tab w:val="left" w:pos="709"/>
        <w:tab w:val="left" w:pos="2127"/>
      </w:tabs>
      <w:ind w:left="709"/>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character" w:styleId="GPSL2IndentChar" w:customStyle="1">
    <w:name w:val="GPS L2 Indent Char"/>
    <w:link w:val="GPSL2Indent"/>
    <w:rPr>
      <w:rFonts w:ascii="Calibri" w:cs="Arial" w:eastAsia="Times New Roman" w:hAnsi="Calibri"/>
      <w:lang w:eastAsia="zh-CN"/>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ind w:left="360"/>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cheduleL1" w:customStyle="1">
    <w:name w:val="Schedule L1"/>
    <w:basedOn w:val="Normal"/>
    <w:pPr>
      <w:numPr>
        <w:numId w:val="3"/>
      </w:numPr>
      <w:adjustRightInd w:val="0"/>
      <w:spacing w:after="240" w:line="240" w:lineRule="auto"/>
      <w:jc w:val="both"/>
      <w:outlineLvl w:val="0"/>
    </w:pPr>
    <w:rPr>
      <w:rFonts w:ascii="Times New Roman" w:cs="Times New Roman" w:eastAsia="STZhongsong" w:hAnsi="Times New Roman"/>
      <w:szCs w:val="20"/>
      <w:lang w:eastAsia="zh-CN"/>
    </w:rPr>
  </w:style>
  <w:style w:type="paragraph" w:styleId="ScheduleL2" w:customStyle="1">
    <w:name w:val="Schedule L2"/>
    <w:basedOn w:val="Normal"/>
    <w:link w:val="ScheduleL2Char"/>
    <w:pPr>
      <w:numPr>
        <w:ilvl w:val="1"/>
        <w:numId w:val="3"/>
      </w:numPr>
      <w:adjustRightInd w:val="0"/>
      <w:spacing w:after="240" w:line="240" w:lineRule="auto"/>
      <w:jc w:val="both"/>
      <w:outlineLvl w:val="1"/>
    </w:pPr>
    <w:rPr>
      <w:rFonts w:ascii="Times New Roman" w:cs="Times New Roman" w:eastAsia="STZhongsong" w:hAnsi="Times New Roman"/>
      <w:szCs w:val="20"/>
      <w:lang w:eastAsia="zh-CN"/>
    </w:rPr>
  </w:style>
  <w:style w:type="paragraph" w:styleId="ScheduleL3" w:customStyle="1">
    <w:name w:val="Schedule L3"/>
    <w:basedOn w:val="Normal"/>
    <w:link w:val="ScheduleL3Char"/>
    <w:pPr>
      <w:numPr>
        <w:ilvl w:val="2"/>
        <w:numId w:val="3"/>
      </w:numPr>
      <w:adjustRightInd w:val="0"/>
      <w:spacing w:after="240" w:line="240" w:lineRule="auto"/>
      <w:jc w:val="both"/>
      <w:outlineLvl w:val="2"/>
    </w:pPr>
    <w:rPr>
      <w:rFonts w:ascii="Times New Roman" w:cs="Times New Roman" w:eastAsia="STZhongsong" w:hAnsi="Times New Roman"/>
      <w:szCs w:val="20"/>
      <w:lang w:eastAsia="zh-CN"/>
    </w:rPr>
  </w:style>
  <w:style w:type="paragraph" w:styleId="ScheduleL4" w:customStyle="1">
    <w:name w:val="Schedule L4"/>
    <w:basedOn w:val="Normal"/>
    <w:pPr>
      <w:numPr>
        <w:ilvl w:val="3"/>
        <w:numId w:val="3"/>
      </w:numPr>
      <w:adjustRightInd w:val="0"/>
      <w:spacing w:after="240" w:line="240" w:lineRule="auto"/>
      <w:jc w:val="both"/>
      <w:outlineLvl w:val="3"/>
    </w:pPr>
    <w:rPr>
      <w:rFonts w:ascii="Times New Roman" w:cs="Times New Roman" w:eastAsia="STZhongsong" w:hAnsi="Times New Roman"/>
      <w:szCs w:val="20"/>
      <w:lang w:eastAsia="zh-CN"/>
    </w:rPr>
  </w:style>
  <w:style w:type="paragraph" w:styleId="ScheduleL5" w:customStyle="1">
    <w:name w:val="Schedule L5"/>
    <w:basedOn w:val="Normal"/>
    <w:pPr>
      <w:numPr>
        <w:ilvl w:val="4"/>
        <w:numId w:val="3"/>
      </w:numPr>
      <w:adjustRightInd w:val="0"/>
      <w:spacing w:after="240" w:line="240" w:lineRule="auto"/>
      <w:jc w:val="both"/>
      <w:outlineLvl w:val="4"/>
    </w:pPr>
    <w:rPr>
      <w:rFonts w:ascii="Times New Roman" w:cs="Times New Roman" w:eastAsia="STZhongsong" w:hAnsi="Times New Roman"/>
      <w:szCs w:val="20"/>
      <w:lang w:eastAsia="zh-CN"/>
    </w:rPr>
  </w:style>
  <w:style w:type="paragraph" w:styleId="ScheduleL6" w:customStyle="1">
    <w:name w:val="Schedule L6"/>
    <w:basedOn w:val="Normal"/>
    <w:pPr>
      <w:numPr>
        <w:ilvl w:val="5"/>
        <w:numId w:val="3"/>
      </w:numPr>
      <w:adjustRightInd w:val="0"/>
      <w:spacing w:after="240" w:line="240" w:lineRule="auto"/>
      <w:jc w:val="both"/>
      <w:outlineLvl w:val="5"/>
    </w:pPr>
    <w:rPr>
      <w:rFonts w:ascii="Times New Roman" w:cs="Times New Roman" w:eastAsia="STZhongsong" w:hAnsi="Times New Roman"/>
      <w:szCs w:val="20"/>
      <w:lang w:eastAsia="zh-CN"/>
    </w:rPr>
  </w:style>
  <w:style w:type="paragraph" w:styleId="ScheduleL7" w:customStyle="1">
    <w:name w:val="Schedule L7"/>
    <w:basedOn w:val="Normal"/>
    <w:pPr>
      <w:numPr>
        <w:ilvl w:val="6"/>
        <w:numId w:val="3"/>
      </w:numPr>
      <w:adjustRightInd w:val="0"/>
      <w:spacing w:after="240" w:line="240" w:lineRule="auto"/>
      <w:jc w:val="both"/>
      <w:outlineLvl w:val="6"/>
    </w:pPr>
    <w:rPr>
      <w:rFonts w:ascii="Times New Roman" w:cs="Times New Roman" w:eastAsia="STZhongsong" w:hAnsi="Times New Roman"/>
      <w:szCs w:val="20"/>
      <w:lang w:eastAsia="zh-CN"/>
    </w:rPr>
  </w:style>
  <w:style w:type="paragraph" w:styleId="ScheduleL8" w:customStyle="1">
    <w:name w:val="Schedule L8"/>
    <w:basedOn w:val="Normal"/>
    <w:pPr>
      <w:numPr>
        <w:ilvl w:val="7"/>
        <w:numId w:val="3"/>
      </w:numPr>
      <w:adjustRightInd w:val="0"/>
      <w:spacing w:after="240" w:line="240" w:lineRule="auto"/>
      <w:jc w:val="both"/>
      <w:outlineLvl w:val="7"/>
    </w:pPr>
    <w:rPr>
      <w:rFonts w:ascii="Times New Roman" w:cs="Times New Roman" w:eastAsia="STZhongsong" w:hAnsi="Times New Roman"/>
      <w:szCs w:val="20"/>
      <w:lang w:eastAsia="zh-CN"/>
    </w:rPr>
  </w:style>
  <w:style w:type="paragraph" w:styleId="ScheduleL9" w:customStyle="1">
    <w:name w:val="Schedule L9"/>
    <w:basedOn w:val="Normal"/>
    <w:pPr>
      <w:numPr>
        <w:ilvl w:val="8"/>
        <w:numId w:val="3"/>
      </w:numPr>
      <w:adjustRightInd w:val="0"/>
      <w:spacing w:after="240" w:line="240" w:lineRule="auto"/>
      <w:jc w:val="both"/>
      <w:outlineLvl w:val="8"/>
    </w:pPr>
    <w:rPr>
      <w:rFonts w:ascii="Times New Roman" w:cs="Times New Roman" w:eastAsia="STZhongsong" w:hAnsi="Times New Roman"/>
      <w:szCs w:val="20"/>
      <w:lang w:eastAsia="zh-CN"/>
    </w:rPr>
  </w:style>
  <w:style w:type="character" w:styleId="ScheduleL2Char" w:customStyle="1">
    <w:name w:val="Schedule L2 Char"/>
    <w:link w:val="ScheduleL2"/>
    <w:locked w:val="1"/>
    <w:rPr>
      <w:rFonts w:ascii="Times New Roman" w:cs="Times New Roman" w:eastAsia="STZhongsong" w:hAnsi="Times New Roman"/>
      <w:szCs w:val="20"/>
      <w:lang w:eastAsia="zh-CN"/>
    </w:rPr>
  </w:style>
  <w:style w:type="character" w:styleId="ScheduleL3Char" w:customStyle="1">
    <w:name w:val="Schedule L3 Char"/>
    <w:link w:val="ScheduleL3"/>
    <w:locked w:val="1"/>
    <w:rPr>
      <w:rFonts w:ascii="Times New Roman" w:cs="Times New Roman" w:eastAsia="STZhongsong" w:hAnsi="Times New Roman"/>
      <w:szCs w:val="20"/>
      <w:lang w:eastAsia="zh-CN"/>
    </w:r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sz w:val="20"/>
      <w:szCs w:val="20"/>
    </w:rPr>
  </w:style>
  <w:style w:type="character" w:styleId="FootnoteReference">
    <w:name w:val="footnote reference"/>
    <w:basedOn w:val="DefaultParagraphFont"/>
    <w:uiPriority w:val="99"/>
    <w:semiHidden w:val="1"/>
    <w:unhideWhenUsed w:val="1"/>
    <w:rPr>
      <w:vertAlign w:val="superscript"/>
    </w:rPr>
  </w:style>
  <w:style w:type="paragraph" w:styleId="Schedule1" w:customStyle="1">
    <w:name w:val="Schedule 1"/>
    <w:basedOn w:val="Normal"/>
    <w:next w:val="BodyText"/>
    <w:pPr>
      <w:keepNext w:val="1"/>
      <w:numPr>
        <w:numId w:val="5"/>
      </w:numPr>
      <w:spacing w:after="240" w:line="240" w:lineRule="auto"/>
      <w:jc w:val="both"/>
    </w:pPr>
    <w:rPr>
      <w:rFonts w:ascii="Times New Roman" w:cs="Times New Roman" w:eastAsia="Times New Roman" w:hAnsi="Times New Roman"/>
      <w:b w:val="1"/>
      <w:caps w:val="1"/>
      <w:szCs w:val="20"/>
    </w:rPr>
  </w:style>
  <w:style w:type="paragraph" w:styleId="Schedule2" w:customStyle="1">
    <w:name w:val="Schedule 2"/>
    <w:basedOn w:val="Normal"/>
    <w:next w:val="BodyText"/>
    <w:pPr>
      <w:keepNext w:val="1"/>
      <w:numPr>
        <w:ilvl w:val="1"/>
        <w:numId w:val="5"/>
      </w:numPr>
      <w:spacing w:after="210" w:line="264" w:lineRule="auto"/>
      <w:jc w:val="both"/>
    </w:pPr>
    <w:rPr>
      <w:rFonts w:ascii="Times New Roman" w:cs="Times New Roman" w:eastAsia="Times New Roman" w:hAnsi="Times New Roman"/>
      <w:sz w:val="23"/>
      <w:szCs w:val="20"/>
    </w:rPr>
  </w:style>
  <w:style w:type="paragraph" w:styleId="Schedule3" w:customStyle="1">
    <w:name w:val="Schedule 3"/>
    <w:basedOn w:val="Normal"/>
    <w:pPr>
      <w:numPr>
        <w:ilvl w:val="2"/>
        <w:numId w:val="5"/>
      </w:numPr>
      <w:spacing w:after="210" w:line="264" w:lineRule="auto"/>
      <w:jc w:val="both"/>
    </w:pPr>
    <w:rPr>
      <w:rFonts w:ascii="Times New Roman" w:cs="Times New Roman" w:eastAsia="Times New Roman" w:hAnsi="Times New Roman"/>
      <w:sz w:val="23"/>
      <w:szCs w:val="20"/>
    </w:rPr>
  </w:style>
  <w:style w:type="paragraph" w:styleId="Schedule4" w:customStyle="1">
    <w:name w:val="Schedule 4"/>
    <w:basedOn w:val="Normal"/>
    <w:pPr>
      <w:numPr>
        <w:ilvl w:val="3"/>
        <w:numId w:val="5"/>
      </w:numPr>
      <w:spacing w:after="210" w:line="264" w:lineRule="auto"/>
      <w:jc w:val="both"/>
    </w:pPr>
    <w:rPr>
      <w:rFonts w:ascii="Times New Roman" w:cs="Times New Roman" w:eastAsia="Times New Roman" w:hAnsi="Times New Roman"/>
      <w:sz w:val="23"/>
      <w:szCs w:val="20"/>
    </w:rPr>
  </w:style>
  <w:style w:type="paragraph" w:styleId="Schedule5" w:customStyle="1">
    <w:name w:val="Schedule 5"/>
    <w:basedOn w:val="Normal"/>
    <w:next w:val="Normal"/>
    <w:pPr>
      <w:numPr>
        <w:ilvl w:val="4"/>
        <w:numId w:val="5"/>
      </w:numPr>
      <w:spacing w:after="210" w:line="264" w:lineRule="auto"/>
      <w:jc w:val="both"/>
    </w:pPr>
    <w:rPr>
      <w:rFonts w:ascii="Times New Roman" w:cs="Times New Roman" w:eastAsia="Times New Roman" w:hAnsi="Times New Roman"/>
      <w:sz w:val="23"/>
      <w:szCs w:val="20"/>
    </w:rPr>
  </w:style>
  <w:style w:type="paragraph" w:styleId="Schedule6" w:customStyle="1">
    <w:name w:val="Schedule 6"/>
    <w:basedOn w:val="Normal"/>
    <w:next w:val="Normal"/>
    <w:pPr>
      <w:keepNext w:val="1"/>
      <w:pageBreakBefore w:val="1"/>
      <w:numPr>
        <w:ilvl w:val="5"/>
        <w:numId w:val="5"/>
      </w:numPr>
      <w:spacing w:after="360" w:line="312" w:lineRule="auto"/>
      <w:jc w:val="center"/>
    </w:pPr>
    <w:rPr>
      <w:rFonts w:ascii="Times New Roman Bold" w:cs="Times New Roman" w:eastAsia="Times New Roman" w:hAnsi="Times New Roman Bold"/>
      <w:b w:val="1"/>
      <w:smallCaps w:val="1"/>
      <w:szCs w:val="20"/>
    </w:rPr>
  </w:style>
  <w:style w:type="paragraph" w:styleId="Schedule7" w:customStyle="1">
    <w:name w:val="Schedule 7"/>
    <w:basedOn w:val="Normal"/>
    <w:next w:val="BodyText"/>
    <w:pPr>
      <w:keepNext w:val="1"/>
      <w:numPr>
        <w:ilvl w:val="6"/>
        <w:numId w:val="5"/>
      </w:numPr>
      <w:spacing w:after="60" w:before="120" w:line="264" w:lineRule="auto"/>
      <w:jc w:val="both"/>
    </w:pPr>
    <w:rPr>
      <w:rFonts w:ascii="Times New Roman Bold" w:cs="Times New Roman" w:eastAsia="Times New Roman" w:hAnsi="Times New Roman Bold"/>
      <w:b w:val="1"/>
      <w:sz w:val="23"/>
      <w:szCs w:val="20"/>
    </w:rPr>
  </w:style>
  <w:style w:type="paragraph" w:styleId="Schedule8" w:customStyle="1">
    <w:name w:val="Schedule 8"/>
    <w:basedOn w:val="Normal"/>
    <w:pPr>
      <w:numPr>
        <w:ilvl w:val="7"/>
        <w:numId w:val="5"/>
      </w:numPr>
      <w:spacing w:after="210" w:line="264" w:lineRule="auto"/>
      <w:jc w:val="both"/>
    </w:pPr>
    <w:rPr>
      <w:rFonts w:ascii="Times New Roman" w:cs="Times New Roman" w:eastAsia="Times New Roman" w:hAnsi="Times New Roman"/>
      <w:sz w:val="23"/>
      <w:szCs w:val="20"/>
    </w:rPr>
  </w:style>
  <w:style w:type="paragraph" w:styleId="Schedule9" w:customStyle="1">
    <w:name w:val="Schedule 9"/>
    <w:basedOn w:val="Normal"/>
    <w:next w:val="Normal"/>
    <w:pPr>
      <w:numPr>
        <w:ilvl w:val="8"/>
        <w:numId w:val="5"/>
      </w:numPr>
      <w:spacing w:after="210" w:line="264" w:lineRule="auto"/>
      <w:jc w:val="both"/>
    </w:pPr>
    <w:rPr>
      <w:rFonts w:ascii="Times New Roman" w:cs="Times New Roman" w:eastAsia="Times New Roman" w:hAnsi="Times New Roman"/>
      <w:sz w:val="23"/>
      <w:szCs w:val="20"/>
    </w:rPr>
  </w:style>
  <w:style w:type="paragraph" w:styleId="StyleSchedule211pt" w:customStyle="1">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val="1"/>
    <w:unhideWhenUsed w:val="1"/>
    <w:pPr>
      <w:spacing w:after="120"/>
    </w:pPr>
  </w:style>
  <w:style w:type="character" w:styleId="BodyTextChar" w:customStyle="1">
    <w:name w:val="Body Text Char"/>
    <w:basedOn w:val="DefaultParagraphFont"/>
    <w:link w:val="BodyText"/>
    <w:uiPriority w:val="99"/>
    <w:semiHidden w:val="1"/>
  </w:style>
  <w:style w:type="paragraph" w:styleId="9plus" w:customStyle="1">
    <w:name w:val="9 plus"/>
    <w:basedOn w:val="Normal"/>
    <w:pPr>
      <w:numPr>
        <w:numId w:val="8"/>
      </w:numPr>
      <w:spacing w:after="210" w:line="264" w:lineRule="auto"/>
      <w:jc w:val="both"/>
    </w:pPr>
    <w:rPr>
      <w:rFonts w:ascii="Times New Roman" w:cs="Times New Roman" w:eastAsia="Times New Roman" w:hAnsi="Times New Roman"/>
      <w:sz w:val="23"/>
      <w:szCs w:val="20"/>
    </w:rPr>
  </w:style>
  <w:style w:type="paragraph" w:styleId="ListParagraph">
    <w:name w:val="List Paragraph"/>
    <w:basedOn w:val="Normal"/>
    <w:uiPriority w:val="34"/>
    <w:qFormat w:val="1"/>
    <w:pPr>
      <w:spacing w:after="0" w:line="240" w:lineRule="auto"/>
      <w:ind w:left="720"/>
    </w:pPr>
    <w:rPr>
      <w:rFonts w:ascii="Calibri" w:cs="Times New Roman" w:hAnsi="Calibri"/>
    </w:rPr>
  </w:style>
  <w:style w:type="paragraph" w:styleId="GPSSchTitleandNumber" w:customStyle="1">
    <w:name w:val="GPS Sch Title and Number"/>
    <w:basedOn w:val="Normal"/>
    <w:link w:val="GPSSchTitleandNumberChar"/>
    <w:qFormat w:val="1"/>
    <w:rsid w:val="00D417E2"/>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sid w:val="00D417E2"/>
    <w:rPr>
      <w:rFonts w:ascii="Arial Bold" w:cs="Times New Roman" w:eastAsia="STZhongsong" w:hAnsi="Arial Bold"/>
      <w:b w:val="1"/>
      <w:caps w:val="1"/>
      <w:lang w:eastAsia="zh-CN"/>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qAxW+JTcWdN8RpjSqAnJyqUsFFg==">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2020-02-27T11:56:00Z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